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«Средняя школа №</w:t>
      </w:r>
      <w:r w:rsidR="00036EF4">
        <w:rPr>
          <w:b/>
          <w:bCs/>
          <w:sz w:val="32"/>
          <w:szCs w:val="32"/>
        </w:rPr>
        <w:t xml:space="preserve"> </w:t>
      </w:r>
      <w:r w:rsidR="00DD1496">
        <w:rPr>
          <w:b/>
          <w:bCs/>
          <w:sz w:val="32"/>
          <w:szCs w:val="32"/>
        </w:rPr>
        <w:t>68</w:t>
      </w:r>
      <w:bookmarkStart w:id="0" w:name="_GoBack"/>
      <w:bookmarkEnd w:id="0"/>
      <w:r w:rsidRPr="006A3177">
        <w:rPr>
          <w:b/>
          <w:bCs/>
          <w:sz w:val="32"/>
          <w:szCs w:val="32"/>
        </w:rPr>
        <w:t>»</w:t>
      </w:r>
    </w:p>
    <w:p w:rsidR="00CF19C2" w:rsidRDefault="00036EF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 основной образовательной программы среднего общего образования</w:t>
      </w:r>
      <w:r>
        <w:rPr>
          <w:color w:val="001F5F"/>
        </w:rPr>
        <w:br/>
        <w:t xml:space="preserve"> (10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–11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CF19C2" w:rsidRDefault="00036EF4">
      <w:pPr>
        <w:pStyle w:val="a3"/>
        <w:ind w:firstLine="0"/>
      </w:pPr>
      <w:r>
        <w:rPr>
          <w:color w:val="001F5F"/>
        </w:rPr>
        <w:t>2023–2024 учебный 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036EF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036EF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 к рабочей 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036EF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z w:val="24"/>
              </w:rPr>
              <w:br/>
              <w:t>(ФРП)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 ,с учётом Концепции преподавания русского языка и литературы в Российской Федерации(утверждённой распоряжением Правительства Российской Федерации от 9 апреля 2016 г</w:t>
            </w:r>
          </w:p>
          <w:p w:rsidR="00CF19C2" w:rsidRDefault="00036EF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№637-р) и подлежит непосредственному применению при реализации обязательной части ООП СОО.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принадлежности, знание русского языка и владение им в разных формах его существования и </w:t>
            </w:r>
            <w:r>
              <w:rPr>
                <w:spacing w:val="-1"/>
                <w:sz w:val="24"/>
              </w:rPr>
              <w:t xml:space="preserve">функциональных </w:t>
            </w:r>
            <w:r>
              <w:rPr>
                <w:sz w:val="24"/>
              </w:rPr>
              <w:t>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возможности её самореализации в различных жизненно важных для человека областях.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 выделяется три сквозные линии:«Язык и речь. Культура речи», «Речь. Речевое общение. Текст»,</w:t>
            </w:r>
          </w:p>
          <w:p w:rsidR="00CF19C2" w:rsidRDefault="00036EF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 стилистика. Культура речи».</w:t>
            </w:r>
          </w:p>
          <w:p w:rsidR="00CF19C2" w:rsidRDefault="00036E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русского языка на ступени среднего общего образования отводится 136 часов:</w:t>
            </w:r>
          </w:p>
          <w:p w:rsidR="00CF19C2" w:rsidRDefault="00036EF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 класс–68 часов (2 часа в неделю);</w:t>
            </w:r>
          </w:p>
          <w:p w:rsidR="00CF19C2" w:rsidRDefault="00036EF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 класс–68 часов (2 часа в 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036EF4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 Федерации от 9 апреля 2016 г.№637-р 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 Российской Федерации, 2016, №17, ст.2424) и подлежит непосредственному применению при реализации обязательной части ООП СОО.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 -начала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</w:t>
            </w:r>
            <w:r>
              <w:rPr>
                <w:spacing w:val="-1"/>
                <w:sz w:val="24"/>
              </w:rPr>
              <w:t xml:space="preserve">жизненным и читательским </w:t>
            </w:r>
            <w:r>
              <w:rPr>
                <w:sz w:val="24"/>
              </w:rPr>
              <w:t>опытом. В федеральной рабочей программе учебного предмета «Литература» учтены этапы российского историко-литературного процесса второй половины ХIХ - начала ХХI века, представлены разделы, включающие произведения литератур народов России и зарубежной литературы.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«Литература»(базовый уровень)отводится 204 часа:</w:t>
            </w:r>
          </w:p>
          <w:p w:rsidR="00CF19C2" w:rsidRDefault="00036E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 класс–102 часа(3 часа в неделю);</w:t>
            </w:r>
          </w:p>
          <w:p w:rsidR="00CF19C2" w:rsidRDefault="00036EF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 класс–102 часа(3 часа в 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036EF4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Литература(углубленныйуровень)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для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России от 17 05 2012 г № 413, зарегистрирован Министерством юстиции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2016 г.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036EF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 литературы в старших классах происходит углубление и расширение межпредметных связей с курсом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—начала ХХI века, представлены разделы, включающие произведения литератур народов России и зарубежной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10—11классах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036EF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часов(5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36EF4" w:rsidP="003615A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часов(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036EF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766" w:type="dxa"/>
          </w:tcPr>
          <w:p w:rsidR="00CF19C2" w:rsidRDefault="00036EF4" w:rsidP="003615A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</w:t>
            </w:r>
            <w:r w:rsidR="003615A3">
              <w:rPr>
                <w:sz w:val="24"/>
              </w:rPr>
              <w:t>вне сред</w:t>
            </w:r>
            <w:r>
              <w:rPr>
                <w:sz w:val="24"/>
              </w:rPr>
              <w:t>него общего образования составлена на основе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3615A3">
              <w:rPr>
                <w:sz w:val="24"/>
              </w:rPr>
              <w:t xml:space="preserve"> не</w:t>
            </w:r>
            <w:r>
              <w:rPr>
                <w:sz w:val="24"/>
              </w:rPr>
              <w:t>посредственному применению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3615A3">
              <w:rPr>
                <w:sz w:val="24"/>
              </w:rPr>
              <w:t xml:space="preserve"> ч</w:t>
            </w:r>
            <w:r>
              <w:rPr>
                <w:sz w:val="24"/>
              </w:rPr>
              <w:t>асти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036EF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036EF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36EF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036EF4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 w:rsidR="003615A3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(углубленныйуровень)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036EF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созидательного,нравственногоопыта.Онаслужитважнымресурсомсамоидентификацииличностивокружающемсоциуме,</w:t>
            </w:r>
          </w:p>
          <w:p w:rsidR="00CF19C2" w:rsidRDefault="00036EF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3615A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036EF4">
              <w:rPr>
                <w:sz w:val="24"/>
              </w:rPr>
              <w:t>глубление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социализации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обучающихся,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гражданской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ответственности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социальной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культуры,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адекватной условиям современного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мира;</w:t>
            </w:r>
          </w:p>
          <w:p w:rsidR="00CF19C2" w:rsidRDefault="003615A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036EF4">
              <w:rPr>
                <w:sz w:val="24"/>
              </w:rPr>
              <w:t>своение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систематических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всеобщей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XX—XXI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вв.;</w:t>
            </w:r>
          </w:p>
          <w:p w:rsidR="00CF19C2" w:rsidRDefault="00036E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036E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—настоящее— будущее»;</w:t>
            </w:r>
          </w:p>
          <w:p w:rsidR="00CF19C2" w:rsidRDefault="00036E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курсах—приобретение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следовательской </w:t>
            </w:r>
            <w:r>
              <w:rPr>
                <w:sz w:val="24"/>
              </w:rPr>
              <w:t>деятельности;</w:t>
            </w:r>
          </w:p>
          <w:p w:rsidR="00CF19C2" w:rsidRDefault="00036E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15A3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036E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036E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курсах—элементы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036EF4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036E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36EF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036EF4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036EF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036EF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 w:rsidR="007D35C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 w:rsidR="007D35C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 w:rsidR="007D35C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 w:rsidR="007D35C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 w:rsidR="007D35C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036EF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собственного«Я»,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036EF4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036EF4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Обществознание(углубленныйуровень)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D35CC">
              <w:rPr>
                <w:sz w:val="24"/>
              </w:rPr>
              <w:t xml:space="preserve"> образования </w:t>
            </w:r>
            <w:r>
              <w:rPr>
                <w:sz w:val="24"/>
              </w:rPr>
              <w:t>,в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036EF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 w:rsidR="007D35CC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многодисциплинарности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садаптированными, так и неадаптированными источниками информации в условиях возрастания роли массовых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учебно-исследовательскойдеятельности,характернойдлявысшегообразования.В соответствии с учебным планом социально-экономического профиля обществознание на углублённом уровне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год).Общая недельная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036EF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36EF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 136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часов(4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036EF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 w:rsidR="00B71A8E">
              <w:rPr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 w:rsidR="00B71A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 w:rsidR="00B71A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 w:rsidR="00B71A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 w:rsidR="00B71A8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образования-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B71A8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036EF4">
              <w:rPr>
                <w:sz w:val="24"/>
              </w:rPr>
              <w:t>инамике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основных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природных,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экологических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процессов,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проблемах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природы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общества,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географических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подходах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устойчивому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территорий.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036EF4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036EF4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География(углубленныйуровень)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 w:rsidR="00B71A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B71A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 w:rsidR="00B71A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 w:rsidR="00B71A8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036EF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науглублённомуровнепогеографиинацеленанадостижениеобучающимисяпредметныхрезультатовосвоенияосновнойобразовательнойпрограммыпогеографиинауглублённомуровневсоответствии с ФГОС СОО. Программа включает требования к личностным, метапредметным и предметным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 w:rsidR="00B71A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 w:rsidR="00B71A8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24.12.2018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г.В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различного географического профиля.</w:t>
            </w:r>
          </w:p>
          <w:p w:rsidR="00CF19C2" w:rsidRDefault="00036EF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036EF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класс–102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часа(3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36EF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класс–102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часа(3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71A8E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036EF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 w:rsidR="00B71A8E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безопасности</w:t>
            </w:r>
            <w:r w:rsidR="00B71A8E">
              <w:rPr>
                <w:b/>
                <w:sz w:val="24"/>
              </w:rPr>
              <w:br/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036EF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2592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036EF4">
              <w:rPr>
                <w:sz w:val="24"/>
              </w:rPr>
              <w:t>своение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содержания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материала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логике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последовательного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нарастания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факторов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опасности: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опасная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ситуация,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экстремальная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ситуация,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чрезвычайная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ситуация–и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разумного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построения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модели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индивидуального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техногенной,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социальной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информационной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сферах.</w:t>
            </w:r>
          </w:p>
          <w:p w:rsidR="00CF19C2" w:rsidRDefault="00036EF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25928">
              <w:rPr>
                <w:sz w:val="24"/>
              </w:rPr>
              <w:t xml:space="preserve">  </w:t>
            </w:r>
            <w:r>
              <w:rPr>
                <w:sz w:val="24"/>
              </w:rPr>
              <w:t>актуальными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036EF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036E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036EF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036EF4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№1«Культура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 w:rsidR="00E25928">
              <w:rPr>
                <w:sz w:val="24"/>
              </w:rPr>
              <w:br/>
            </w:r>
            <w:r>
              <w:rPr>
                <w:sz w:val="24"/>
              </w:rPr>
              <w:t>Модуль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№2«Безопасность 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036EF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№3«Безопасность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036EF4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№4«Безопасность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 w:rsidR="00E25928">
              <w:rPr>
                <w:sz w:val="24"/>
              </w:rPr>
              <w:br/>
            </w:r>
            <w:r>
              <w:rPr>
                <w:sz w:val="24"/>
              </w:rPr>
              <w:t>Модуль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№5«Безопасность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036EF4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 w:rsidR="00E25928">
              <w:rPr>
                <w:sz w:val="24"/>
              </w:rPr>
              <w:br/>
            </w:r>
            <w:r>
              <w:rPr>
                <w:sz w:val="24"/>
              </w:rPr>
              <w:t>Модуль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№7«Безопасность 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036EF4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 w:rsidR="00E25928">
              <w:rPr>
                <w:sz w:val="24"/>
              </w:rPr>
              <w:br/>
            </w:r>
            <w:r>
              <w:rPr>
                <w:sz w:val="24"/>
              </w:rPr>
              <w:t>Модуль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№9«Основы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036EF4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036EF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036EF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№96/134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24022010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среднего(полного)общего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036EF4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 w:rsidR="00E2592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иностранному(французскому)языку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036EF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образования(одобрена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у</w:t>
            </w:r>
            <w:r>
              <w:rPr>
                <w:sz w:val="24"/>
              </w:rPr>
              <w:t>ниверсальном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№1/21),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 w:rsidR="00E2592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 w:rsidR="00E25928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 w:rsidR="00E2592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«Французский в перспективе» авторов: Бубнова Г.И.,Тарасова А.Н., Лонэ Э. (</w:t>
            </w:r>
            <w:r>
              <w:rPr>
                <w:i/>
                <w:sz w:val="24"/>
              </w:rPr>
              <w:t>1.1.3.3.3.1.1- 1.1.3.3.3.1.2. ФПУ утв. Приказом Министерства просвещения РФ от 21</w:t>
            </w:r>
            <w:r w:rsidR="000F5B8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2022г.</w:t>
            </w:r>
            <w:r w:rsidR="000F5B8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036EF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достижение учащимися 11 класса уровня подготовки по французскому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F5B8E">
              <w:rPr>
                <w:sz w:val="24"/>
              </w:rPr>
              <w:t>о</w:t>
            </w:r>
            <w:r>
              <w:rPr>
                <w:sz w:val="24"/>
              </w:rPr>
              <w:t>мпетенциям–аудировании,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036EF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“Французский язык” отводится 272 часа (4 часа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неделю)для всех профилей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036EF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36EF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5B8E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036EF4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 w:rsidR="00DE7BC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язык(английский)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</w:t>
            </w:r>
            <w:r w:rsidR="00DE7BC9">
              <w:rPr>
                <w:sz w:val="24"/>
              </w:rPr>
              <w:t>ому) языку (базовый уровень) со</w:t>
            </w:r>
            <w:r>
              <w:rPr>
                <w:sz w:val="24"/>
              </w:rPr>
              <w:t>ставлена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DE7BC9">
              <w:rPr>
                <w:sz w:val="24"/>
              </w:rPr>
              <w:t xml:space="preserve">  </w:t>
            </w:r>
            <w:r>
              <w:rPr>
                <w:sz w:val="24"/>
              </w:rPr>
              <w:t>основной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17052012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DE7BC9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="00DE7BC9">
              <w:rPr>
                <w:sz w:val="24"/>
              </w:rPr>
              <w:t>.</w:t>
            </w:r>
            <w:r>
              <w:rPr>
                <w:sz w:val="24"/>
              </w:rPr>
              <w:t>2014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№1645,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 w:rsidR="00DE7BC9">
              <w:rPr>
                <w:sz w:val="24"/>
              </w:rPr>
              <w:t>.</w:t>
            </w:r>
          </w:p>
          <w:p w:rsidR="00CF19C2" w:rsidRDefault="00036E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 w:rsidR="00DE7BC9">
              <w:rPr>
                <w:sz w:val="24"/>
              </w:rPr>
              <w:t>.</w:t>
            </w:r>
            <w:r>
              <w:rPr>
                <w:sz w:val="24"/>
              </w:rPr>
              <w:t>2015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DE7BC9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="00DE7BC9">
              <w:rPr>
                <w:sz w:val="24"/>
              </w:rPr>
              <w:t>.</w:t>
            </w:r>
            <w:r>
              <w:rPr>
                <w:sz w:val="24"/>
              </w:rPr>
              <w:t>2017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 w:rsidR="00DE7BC9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DE7BC9">
              <w:rPr>
                <w:sz w:val="24"/>
              </w:rPr>
              <w:t>.</w:t>
            </w:r>
          </w:p>
          <w:p w:rsidR="00CF19C2" w:rsidRDefault="00DE7BC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11.12.2020 № </w:t>
            </w:r>
            <w:r w:rsidR="00036EF4">
              <w:rPr>
                <w:sz w:val="24"/>
              </w:rPr>
              <w:t>712), основной образовательной программой среднего общего образования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28.06.2016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г.№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2/16)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учётом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распределённых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классам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проверяемых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042021 г , Протокол №1/21), а также на основе характеристики планируемых результатов духовно-нравственного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DE7BC9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DE7BC9">
              <w:rPr>
                <w:sz w:val="24"/>
              </w:rPr>
              <w:t xml:space="preserve"> представлен</w:t>
            </w:r>
            <w:r>
              <w:rPr>
                <w:sz w:val="24"/>
              </w:rPr>
              <w:t>ной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от 12 06 2020 г).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обучающихся.В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языку.При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036EF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 w:rsidR="00DE7BC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предмета«Второй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язык(английский)»для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("Spotlight") для 10-11 классов общеобразовательных учреждений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–аудировании,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036EF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204 часа(3 часа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036EF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класс–102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часа(3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36EF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класс–102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036EF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E7BC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036EF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 w:rsidR="0004090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:«Числа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036EF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20634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036E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36EF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класс–170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часов(5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036EF4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Математика(углубленныйуровень)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="00685D3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 w:rsidR="00685D3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 w:rsidR="00685D3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 w:rsidR="00685D3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общекульту</w:t>
            </w:r>
            <w:r w:rsidR="00685D3A">
              <w:rPr>
                <w:sz w:val="24"/>
              </w:rPr>
              <w:t>р</w:t>
            </w:r>
            <w:r>
              <w:rPr>
                <w:sz w:val="24"/>
              </w:rPr>
              <w:t>ного,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036E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036EF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«Алгебра»(«Алгебраическиевыражения»,«Уравненияинеравенства»),«Началаматематическогоанализа»,</w:t>
            </w:r>
          </w:p>
          <w:p w:rsidR="00CF19C2" w:rsidRDefault="00036EF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 w:rsidR="00685D3A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036EF4" w:rsidP="002F02F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учебны</w:t>
            </w:r>
            <w:r w:rsidR="002F02F7">
              <w:rPr>
                <w:sz w:val="24"/>
              </w:rPr>
              <w:t xml:space="preserve">х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036EF4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036EF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F02F7">
              <w:rPr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2F02F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036EF4">
              <w:rPr>
                <w:sz w:val="24"/>
              </w:rPr>
              <w:t>онимание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предмета,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ключевых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вопросов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основных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составляющих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элементов</w:t>
            </w:r>
            <w:r w:rsidR="00867E9C"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изучаемой</w:t>
            </w:r>
            <w:r w:rsidR="00867E9C"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предметной</w:t>
            </w:r>
            <w:r w:rsidR="00867E9C"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области;</w:t>
            </w:r>
          </w:p>
          <w:p w:rsidR="00CF19C2" w:rsidRDefault="00867E9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036EF4">
              <w:rPr>
                <w:sz w:val="24"/>
              </w:rPr>
              <w:t>мение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решать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типовые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практические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задачи,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характерные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использования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методов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инструментария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данной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предметной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области;</w:t>
            </w:r>
          </w:p>
          <w:p w:rsidR="00CF19C2" w:rsidRDefault="00867E9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036EF4">
              <w:rPr>
                <w:sz w:val="24"/>
              </w:rPr>
              <w:t>сознание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рамок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изучаемой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предметной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области,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ограниченности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методов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инструментов,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типичных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связей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 другими областями знания.</w:t>
            </w:r>
          </w:p>
          <w:p w:rsidR="00CF19C2" w:rsidRDefault="00036EF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036EF4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Информатика(углубленныйуровень)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036EF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036EF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036EF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036EF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теорий),основных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 w:rsidR="00867E9C">
              <w:rPr>
                <w:color w:val="221F1F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 w:rsidR="00867E9C">
              <w:rPr>
                <w:color w:val="221F1F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 w:rsidR="00867E9C">
              <w:rPr>
                <w:color w:val="221F1F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 w:rsidR="00867E9C">
              <w:rPr>
                <w:color w:val="221F1F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 w:rsidR="00867E9C">
              <w:rPr>
                <w:sz w:val="24"/>
              </w:rPr>
              <w:t xml:space="preserve"> информационную </w:t>
            </w:r>
            <w:r>
              <w:rPr>
                <w:sz w:val="24"/>
              </w:rPr>
              <w:t>сферы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67E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 w:rsidR="00867E9C">
              <w:rPr>
                <w:sz w:val="24"/>
              </w:rPr>
              <w:t xml:space="preserve"> 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036E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036EF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класс–136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036EF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29.1.2012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Федерации»,Федерального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="00C86C5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 w:rsidR="00C86C5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 w:rsidR="00C86C5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 w:rsidR="00C86C5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 w:rsidR="00C86C5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система»,«Организм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036EF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социально-экономического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036EF4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Биология(углубленныйуровень)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036EF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C86C52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6EF4">
              <w:rPr>
                <w:sz w:val="24"/>
              </w:rPr>
              <w:t>пециальным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высшим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образованием.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то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же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время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каждый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предметов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должен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быть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ориентирован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приоритетное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решение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образовательных,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воспитательных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развивающих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задач,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связанных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86C5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36EF4">
              <w:rPr>
                <w:sz w:val="24"/>
              </w:rPr>
              <w:t>рофориентацией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стимулированием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конкретной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области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научного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знания,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связанного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биологией,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медициной,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экологией,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психологией,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спортом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военным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делом.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036EF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036EF4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036EF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ипроцессов).</w:t>
            </w:r>
          </w:p>
          <w:p w:rsidR="00CF19C2" w:rsidRDefault="00036EF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036EF4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Физика(углубленныйуровень)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036EF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C86C52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СОО),а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23F2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36EF4">
              <w:rPr>
                <w:sz w:val="24"/>
              </w:rPr>
              <w:t>реподавания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«Физика»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организациях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Федерации,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реализующих</w:t>
            </w:r>
            <w:r>
              <w:rPr>
                <w:sz w:val="24"/>
              </w:rPr>
              <w:t xml:space="preserve"> </w:t>
            </w:r>
            <w:r w:rsidR="00036EF4">
              <w:rPr>
                <w:sz w:val="24"/>
              </w:rPr>
              <w:t>основные общеобразовательные программы.</w:t>
            </w:r>
          </w:p>
          <w:p w:rsidR="00CF19C2" w:rsidRDefault="00036EF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 w:rsidR="00323F2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внутрипредметных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предмета«Физика»на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уровне).Научно-методологической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метапредметными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036EF4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036EF4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036EF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 w:rsidR="00323F2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предмета«Химия»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курсы—«Органическая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химии(с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036EF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профилях 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036EF4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Химия(углубленныйуровень)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»и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036EF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036EF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иу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глубление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036EF4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курсы—</w:t>
            </w:r>
          </w:p>
          <w:p w:rsidR="00CF19C2" w:rsidRDefault="00036EF4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 w:rsidR="00323F2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 w:rsidR="00323F2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 w:rsidR="00323F2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036EF4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036EF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036EF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неделю).Вариативные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036EF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036EF4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 w:rsidR="00073287">
              <w:rPr>
                <w:b/>
                <w:sz w:val="23"/>
              </w:rPr>
              <w:br/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 w:rsidR="00073287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036EF4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>Рабочая программа разработана на основе ФГОС СОО, планируемых результатов среднего общего образования в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036EF4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 w:rsidR="00073287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 w:rsidR="00073287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 w:rsidR="00073287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 информацию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 w:rsidR="00073287">
              <w:rPr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036EF4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плана(всего 68</w:t>
            </w:r>
            <w:r w:rsidR="00073287">
              <w:rPr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 w:rsidSect="00DD59FD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19C2"/>
    <w:rsid w:val="00036EF4"/>
    <w:rsid w:val="00040905"/>
    <w:rsid w:val="00073287"/>
    <w:rsid w:val="000F5B8E"/>
    <w:rsid w:val="002F02F7"/>
    <w:rsid w:val="00323F29"/>
    <w:rsid w:val="003615A3"/>
    <w:rsid w:val="00420335"/>
    <w:rsid w:val="00685D3A"/>
    <w:rsid w:val="006A3177"/>
    <w:rsid w:val="007D35CC"/>
    <w:rsid w:val="00867E9C"/>
    <w:rsid w:val="00B20634"/>
    <w:rsid w:val="00B71A8E"/>
    <w:rsid w:val="00C86C52"/>
    <w:rsid w:val="00CF19C2"/>
    <w:rsid w:val="00DD1496"/>
    <w:rsid w:val="00DD59FD"/>
    <w:rsid w:val="00DE7BC9"/>
    <w:rsid w:val="00E2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7E6E"/>
  <w15:docId w15:val="{B0F701FD-2698-44C4-B96F-7E9A020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9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59FD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D59FD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D59FD"/>
  </w:style>
  <w:style w:type="paragraph" w:customStyle="1" w:styleId="TableParagraph">
    <w:name w:val="Table Paragraph"/>
    <w:basedOn w:val="a"/>
    <w:uiPriority w:val="1"/>
    <w:qFormat/>
    <w:rsid w:val="00DD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7117</Words>
  <Characters>40568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3</cp:revision>
  <dcterms:created xsi:type="dcterms:W3CDTF">2023-09-22T14:16:00Z</dcterms:created>
  <dcterms:modified xsi:type="dcterms:W3CDTF">2023-12-25T18:24:00Z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